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设备拓扑状态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设备状态管理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上线 (online)</w:t>
      </w:r>
      <w:bookmarkEnd w:id="1"/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设备连接MQTT后，需发送online或heartbeat进行设备上线操作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设备上线后可按照0.2-1Hz频率发送heartbeat进行设备在线状态维持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" w:id="2"/>
      <w:r>
        <w:rPr>
          <w:rFonts w:eastAsia="等线" w:ascii="Arial" w:cs="Arial" w:hAnsi="Arial"/>
          <w:b w:val="true"/>
          <w:sz w:val="28"/>
        </w:rPr>
        <w:t>请求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sys/device/{device_sn}/status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online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字段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1735291287539,</w:t>
              <w:br/>
              <w:t xml:space="preserve">  "gateway":"{device_sn}",</w:t>
              <w:br/>
              <w:t xml:space="preserve">  "method": "online",</w:t>
              <w:br/>
              <w:t xml:space="preserve">  "data": {},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" w:id="3"/>
      <w:r>
        <w:rPr>
          <w:rFonts w:eastAsia="等线" w:ascii="Arial" w:cs="Arial" w:hAnsi="Arial"/>
          <w:b w:val="true"/>
          <w:sz w:val="28"/>
        </w:rPr>
        <w:t>响应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sys/device/{device_sn}/status_reply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online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  <w:t xml:space="preserve">  "method": "online",</w:t>
              <w:br/>
              <w:t xml:space="preserve">  "data": {</w:t>
              <w:br/>
              <w:t xml:space="preserve">    "result": 0,</w:t>
              <w:br/>
              <w:t xml:space="preserve">    "output": {}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下线  (offline)</w:t>
      </w:r>
      <w:bookmarkEnd w:id="4"/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设备超过30s未发送heartbeat或online消息，系统自动判断设备离线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心跳 (heartbeat)</w:t>
      </w:r>
      <w:bookmarkEnd w:id="5"/>
    </w:p>
    <w:tbl>
      <w:tblPr>
        <w:tblW w:w="0" w:type="auto"/>
        <w:tblInd w:w="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Layout w:type="fixed"/>
      </w:tblPr>
      <w:tblGrid>
        <w:gridCol w:w="8280"/>
      </w:tblGrid>
      <w:tr>
        <w:tc>
          <w:tcPr>
            <w:tcW w:w="8280" w:type="dxa"/>
            <w:tcBorders>
              <w:top w:val="nil"/>
              <w:left w:sz="18" w:val="single" w:color="BBBFC4"/>
              <w:bottom w:val="nil"/>
              <w:right w:val="nil"/>
            </w:tcBorders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color w:val="646a73"/>
                <w:sz w:val="22"/>
              </w:rPr>
              <w:t>设备上线后可按照0.2-1Hz频率发送heartbeat进行设备在线状态维持</w:t>
            </w:r>
          </w:p>
        </w:tc>
      </w:tr>
    </w:tbl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请求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sys/device/{device_sn}/status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上行（up）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方法（Method）: heartbeat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字段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1735291287539,</w:t>
              <w:br/>
              <w:t xml:space="preserve">  "gateway":"{device_sn}",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"method": "</w:t>
            </w:r>
            <w:r>
              <w:rPr>
                <w:rFonts w:eastAsia="Consolas" w:ascii="Consolas" w:cs="Consolas" w:hAnsi="Consolas"/>
                <w:sz w:val="22"/>
              </w:rPr>
              <w:t>heartbeat</w:t>
            </w:r>
            <w:r>
              <w:rPr>
                <w:rFonts w:eastAsia="Consolas" w:ascii="Consolas" w:cs="Consolas" w:hAnsi="Consolas"/>
                <w:sz w:val="22"/>
              </w:rPr>
              <w:t>",</w:t>
              <w:br/>
              <w:t xml:space="preserve">  "data": {},</w:t>
              <w:br/>
              <w:t xml:space="preserve">  "need_reply": 1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" w:id="7"/>
      <w:r>
        <w:rPr>
          <w:rFonts w:eastAsia="等线" w:ascii="Arial" w:cs="Arial" w:hAnsi="Arial"/>
          <w:b w:val="true"/>
          <w:sz w:val="28"/>
        </w:rPr>
        <w:t>响应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主题（Topic）: sys/device/{device_sn}/status_reply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方向（Direction）: 下行（down）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方法（Method）: </w:t>
      </w:r>
      <w:r>
        <w:rPr>
          <w:rFonts w:eastAsia="等线" w:ascii="Arial" w:cs="Arial" w:hAnsi="Arial"/>
          <w:sz w:val="22"/>
        </w:rPr>
        <w:t>heartbeat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数据（Data）: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data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result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服务端响应的结果码 非0代表错误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int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output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请求结果内容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&gt;uplink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上行延迟 ms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long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示例（Example）：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JSON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{</w:t>
              <w:br/>
              <w:t xml:space="preserve">  "tid": "82a9fb50-f3a0-48aa-806f-690d91b26149",</w:t>
              <w:br/>
              <w:t xml:space="preserve">  "bid": "7e87e1a7-b6b5-43ff-b78f-9710ee6b2e0e",</w:t>
              <w:br/>
              <w:t xml:space="preserve">  "timestamp": 1735262479552,</w:t>
              <w:br/>
              <w:t xml:space="preserve">  "gateway": "{device_sn}",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 "method": "</w:t>
            </w:r>
            <w:r>
              <w:rPr>
                <w:rFonts w:eastAsia="Consolas" w:ascii="Consolas" w:cs="Consolas" w:hAnsi="Consolas"/>
                <w:sz w:val="22"/>
              </w:rPr>
              <w:t>heartbeat</w:t>
            </w:r>
            <w:r>
              <w:rPr>
                <w:rFonts w:eastAsia="Consolas" w:ascii="Consolas" w:cs="Consolas" w:hAnsi="Consolas"/>
                <w:sz w:val="22"/>
              </w:rPr>
              <w:t>",</w:t>
              <w:br/>
              <w:t xml:space="preserve">  "data": {</w:t>
              <w:br/>
              <w:t xml:space="preserve">    "result": 0,</w:t>
              <w:br/>
              <w:t xml:space="preserve">    "output": {</w:t>
              <w:br/>
              <w:t xml:space="preserve">        "uplink": 50</w:t>
              <w:br/>
              <w:t xml:space="preserve">    }</w:t>
              <w:br/>
              <w:t xml:space="preserve">  }</w:t>
              <w:br/>
            </w:r>
            <w:r>
              <w:rPr>
                <w:rFonts w:eastAsia="Consolas" w:ascii="Consolas" w:cs="Consolas" w:hAnsi="Consolas"/>
                <w:sz w:val="22"/>
              </w:rPr>
              <w:t>}</w:t>
            </w:r>
          </w:p>
        </w:tc>
      </w:tr>
    </w:tbl>
    <w:p>
      <w:pPr>
        <w:pBdr>
          <w:bottom w:val="single" w:color="dee0e3"/>
          <w:between w:val="single" w:color="dee0e3"/>
        </w:pBdr>
        <w:spacing w:before="120" w:after="120" w:line="288" w:lineRule="auto"/>
        <w:ind w:left="0"/>
      </w:pPr>
    </w:p>
    <w:p>
      <w:pPr>
        <w:spacing w:before="120" w:after="120" w:line="288" w:lineRule="auto"/>
        <w:ind w:left="0"/>
        <w:jc w:val="left"/>
      </w:pP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通用参数表</w:t>
      </w:r>
      <w:bookmarkEnd w:id="8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" w:id="9"/>
      <w:r>
        <w:rPr>
          <w:rFonts w:eastAsia="等线" w:ascii="Arial" w:cs="Arial" w:hAnsi="Arial"/>
          <w:b w:val="true"/>
          <w:sz w:val="28"/>
        </w:rPr>
        <w:t>状态status</w:t>
      </w:r>
      <w:bookmarkEnd w:id="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status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说明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类型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sent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已发送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in_progress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处理中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ok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完成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paused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暂停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rejected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拒绝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failed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失败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canceled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取消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timeout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超时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string</w:t>
            </w:r>
          </w:p>
        </w:tc>
      </w:tr>
    </w:tbl>
    <w:p>
      <w:pPr>
        <w:spacing w:before="120" w:after="120" w:line="288" w:lineRule="auto"/>
        <w:ind w:left="0"/>
        <w:jc w:val="left"/>
      </w:pP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2026-05-20T06:39:18Z</dcterms:created>
  <dc:creator>Apache POI</dc:creator>
</cp:coreProperties>
</file>